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2020年上半年中小学教师资格认定工作安排表</w:t>
      </w:r>
    </w:p>
    <w:bookmarkEnd w:id="0"/>
    <w:tbl>
      <w:tblPr>
        <w:tblW w:w="142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2475"/>
        <w:gridCol w:w="2049"/>
        <w:gridCol w:w="2050"/>
        <w:gridCol w:w="2173"/>
        <w:gridCol w:w="2174"/>
        <w:gridCol w:w="2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网报时间</w:t>
            </w:r>
          </w:p>
        </w:tc>
        <w:tc>
          <w:tcPr>
            <w:tcW w:w="43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现场确认时间</w:t>
            </w:r>
          </w:p>
        </w:tc>
        <w:tc>
          <w:tcPr>
            <w:tcW w:w="28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教师资格认定工作联系人电话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结束时间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结束时间</w:t>
            </w:r>
          </w:p>
        </w:tc>
        <w:tc>
          <w:tcPr>
            <w:tcW w:w="28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柳州市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鹿寨县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柳城县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融安县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融水县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三江县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城中区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鱼峰区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柳北区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柳南区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柳江区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C64DC"/>
    <w:rsid w:val="06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2020-06-02T07:49:00Z</dcterms:created>
  <dc:creator>广西中公教育-吴思思</dc:creator>
  <cp:lastModifiedBy>广西中公教育-吴思思</cp:lastModifiedBy>
  <dcterms:modified xsi:type="dcterms:W3CDTF">2020-06-02T07:50:11Z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